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51054177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DDDDDD" w:themeColor="accent1"/>
            </w:tblBorders>
            <w:tblLook w:val="04A0" w:firstRow="1" w:lastRow="0" w:firstColumn="1" w:lastColumn="0" w:noHBand="0" w:noVBand="1"/>
          </w:tblPr>
          <w:tblGrid>
            <w:gridCol w:w="11704"/>
          </w:tblGrid>
          <w:tr w:rsidR="00E159A5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A0913523389940BBB481DF5D529B380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59A5" w:rsidRDefault="00717CB9" w:rsidP="00717CB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Food Marketing Institute</w:t>
                    </w:r>
                  </w:p>
                </w:tc>
              </w:sdtContent>
            </w:sdt>
          </w:tr>
          <w:tr w:rsidR="00E159A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A551"/>
                    <w:sz w:val="80"/>
                    <w:szCs w:val="80"/>
                  </w:rPr>
                  <w:alias w:val="Title"/>
                  <w:id w:val="13406919"/>
                  <w:placeholder>
                    <w:docPart w:val="68E09CF8C30F45D28B600DC5AA1EC36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159A5" w:rsidRDefault="00717CB9" w:rsidP="00717CB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DDDDDD" w:themeColor="accent1"/>
                        <w:sz w:val="80"/>
                        <w:szCs w:val="80"/>
                      </w:rPr>
                    </w:pPr>
                    <w:r w:rsidRPr="00717CB9">
                      <w:rPr>
                        <w:rFonts w:asciiTheme="majorHAnsi" w:eastAsiaTheme="majorEastAsia" w:hAnsiTheme="majorHAnsi" w:cstheme="majorBidi"/>
                        <w:color w:val="00A551"/>
                        <w:sz w:val="80"/>
                        <w:szCs w:val="80"/>
                      </w:rPr>
                      <w:t>Evaluation of Animal Welfare Guidelines</w:t>
                    </w:r>
                  </w:p>
                </w:sdtContent>
              </w:sdt>
            </w:tc>
          </w:tr>
          <w:tr w:rsidR="00E159A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717CB9">
                  <w:rPr>
                    <w:rFonts w:asciiTheme="majorHAnsi" w:eastAsiaTheme="majorEastAsia" w:hAnsiTheme="majorHAnsi" w:cstheme="majorBidi"/>
                  </w:rPr>
                  <w:t xml:space="preserve">The </w:t>
                </w:r>
                <w:proofErr w:type="gramStart"/>
                <w:r w:rsidRPr="00717CB9">
                  <w:rPr>
                    <w:rFonts w:asciiTheme="majorHAnsi" w:eastAsiaTheme="majorEastAsia" w:hAnsiTheme="majorHAnsi" w:cstheme="majorBidi"/>
                  </w:rPr>
                  <w:t xml:space="preserve">following evaluation of the animal welfare guidelines established by various meat and </w:t>
                </w:r>
                <w:r>
                  <w:rPr>
                    <w:rFonts w:asciiTheme="majorHAnsi" w:eastAsiaTheme="majorEastAsia" w:hAnsiTheme="majorHAnsi" w:cstheme="majorBidi"/>
                  </w:rPr>
                  <w:t>poultry commodity associations wa</w:t>
                </w:r>
                <w:r w:rsidRPr="00717CB9">
                  <w:rPr>
                    <w:rFonts w:asciiTheme="majorHAnsi" w:eastAsiaTheme="majorEastAsia" w:hAnsiTheme="majorHAnsi" w:cstheme="majorBidi"/>
                  </w:rPr>
                  <w:t>s performed by the Food Marketing Institute’s Animal Welfare Advisory Committee</w:t>
                </w:r>
                <w:proofErr w:type="gramEnd"/>
                <w:r w:rsidRPr="00717CB9">
                  <w:rPr>
                    <w:rFonts w:asciiTheme="majorHAnsi" w:eastAsiaTheme="majorEastAsia" w:hAnsiTheme="majorHAnsi" w:cstheme="majorBidi"/>
                  </w:rPr>
                  <w:t xml:space="preserve">. This committee is comprised of animal scientists and veterinarians from the fields of academia and veterinary medicine. </w:t>
                </w:r>
              </w:p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u w:val="single"/>
                  </w:rPr>
                </w:pPr>
                <w:r w:rsidRPr="00717CB9">
                  <w:rPr>
                    <w:rFonts w:asciiTheme="majorHAnsi" w:eastAsiaTheme="majorEastAsia" w:hAnsiTheme="majorHAnsi" w:cstheme="majorBidi"/>
                    <w:b/>
                    <w:u w:val="single"/>
                  </w:rPr>
                  <w:t xml:space="preserve">Key: </w:t>
                </w:r>
              </w:p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717CB9">
                  <w:rPr>
                    <w:rFonts w:asciiTheme="majorHAnsi" w:eastAsiaTheme="majorEastAsia" w:hAnsiTheme="majorHAnsi" w:cstheme="majorBidi"/>
                    <w:b/>
                  </w:rPr>
                  <w:t>Checkmark (x):</w:t>
                </w:r>
                <w:r w:rsidRPr="00717CB9">
                  <w:rPr>
                    <w:rFonts w:asciiTheme="majorHAnsi" w:eastAsiaTheme="majorEastAsia" w:hAnsiTheme="majorHAnsi" w:cstheme="majorBidi"/>
                  </w:rPr>
                  <w:t xml:space="preserve"> element is present in the commodity’s recommended guidelines</w:t>
                </w:r>
              </w:p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717CB9">
                  <w:rPr>
                    <w:rFonts w:asciiTheme="majorHAnsi" w:eastAsiaTheme="majorEastAsia" w:hAnsiTheme="majorHAnsi" w:cstheme="majorBidi"/>
                    <w:b/>
                  </w:rPr>
                  <w:t>Box left blank:</w:t>
                </w:r>
                <w:r w:rsidRPr="00717CB9">
                  <w:rPr>
                    <w:rFonts w:asciiTheme="majorHAnsi" w:eastAsiaTheme="majorEastAsia" w:hAnsiTheme="majorHAnsi" w:cstheme="majorBidi"/>
                  </w:rPr>
                  <w:t xml:space="preserve"> element is not found in the commodity’s recommended guidelines</w:t>
                </w:r>
              </w:p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717CB9">
                  <w:rPr>
                    <w:rFonts w:asciiTheme="majorHAnsi" w:eastAsiaTheme="majorEastAsia" w:hAnsiTheme="majorHAnsi" w:cstheme="majorBidi"/>
                    <w:b/>
                  </w:rPr>
                  <w:t>N/A:</w:t>
                </w:r>
                <w:r w:rsidRPr="00717CB9">
                  <w:rPr>
                    <w:rFonts w:asciiTheme="majorHAnsi" w:eastAsiaTheme="majorEastAsia" w:hAnsiTheme="majorHAnsi" w:cstheme="majorBidi"/>
                  </w:rPr>
                  <w:t xml:space="preserve"> element is “not applicable” to the particular commodity</w:t>
                </w:r>
              </w:p>
              <w:p w:rsidR="00717CB9" w:rsidRP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  <w:p w:rsidR="00717CB9" w:rsidRDefault="00717CB9" w:rsidP="00717CB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E159A5" w:rsidRDefault="00E159A5"/>
        <w:p w:rsidR="00E159A5" w:rsidRDefault="00E159A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704"/>
          </w:tblGrid>
          <w:tr w:rsidR="00E159A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bookmarkStart w:id="0" w:name="_GoBack" w:displacedByCustomXml="next"/>
              <w:bookmarkEnd w:id="0" w:displacedByCustomXml="next"/>
              <w:sdt>
                <w:sdtPr>
                  <w:alias w:val="Date"/>
                  <w:id w:val="13406932"/>
                  <w:placeholder>
                    <w:docPart w:val="2E11199D994C4FA48B54B93E95A367E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5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E159A5" w:rsidRPr="00717CB9" w:rsidRDefault="00717CB9">
                    <w:pPr>
                      <w:pStyle w:val="NoSpacing"/>
                    </w:pPr>
                    <w:r w:rsidRPr="00717CB9">
                      <w:t>5/1</w:t>
                    </w:r>
                    <w:r>
                      <w:t>3</w:t>
                    </w:r>
                    <w:r w:rsidRPr="00717CB9">
                      <w:t>/2013</w:t>
                    </w:r>
                  </w:p>
                </w:sdtContent>
              </w:sdt>
              <w:p w:rsidR="00E159A5" w:rsidRDefault="00E159A5">
                <w:pPr>
                  <w:pStyle w:val="NoSpacing"/>
                  <w:rPr>
                    <w:color w:val="DDDDDD" w:themeColor="accent1"/>
                  </w:rPr>
                </w:pPr>
              </w:p>
            </w:tc>
          </w:tr>
        </w:tbl>
        <w:p w:rsidR="00E159A5" w:rsidRDefault="00E159A5"/>
        <w:p w:rsidR="00E159A5" w:rsidRDefault="00E159A5">
          <w:pPr>
            <w:spacing w:after="0" w:line="240" w:lineRule="auto"/>
          </w:pPr>
          <w:r>
            <w:br w:type="page"/>
          </w:r>
        </w:p>
      </w:sdtContent>
    </w:sdt>
    <w:p w:rsidR="00E159A5" w:rsidRDefault="00E159A5"/>
    <w:tbl>
      <w:tblPr>
        <w:tblpPr w:leftFromText="180" w:rightFromText="180" w:vertAnchor="page" w:horzAnchor="margin" w:tblpY="1523"/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070"/>
        <w:gridCol w:w="1413"/>
        <w:gridCol w:w="750"/>
        <w:gridCol w:w="1171"/>
        <w:gridCol w:w="1438"/>
        <w:gridCol w:w="1545"/>
        <w:gridCol w:w="1422"/>
        <w:gridCol w:w="1237"/>
        <w:gridCol w:w="1119"/>
      </w:tblGrid>
      <w:tr w:rsidR="00FC00CE" w:rsidRPr="002B1E02" w:rsidTr="00E159A5">
        <w:trPr>
          <w:trHeight w:val="326"/>
        </w:trPr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00CE" w:rsidRPr="000F70A0" w:rsidRDefault="00FC00CE" w:rsidP="005D0A99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0F70A0">
              <w:rPr>
                <w:sz w:val="28"/>
                <w:szCs w:val="24"/>
              </w:rPr>
              <w:t>Practice</w:t>
            </w:r>
          </w:p>
        </w:tc>
        <w:tc>
          <w:tcPr>
            <w:tcW w:w="4090" w:type="pct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0CE" w:rsidRPr="000F70A0" w:rsidRDefault="00542B30" w:rsidP="00FC00CE">
            <w:pPr>
              <w:spacing w:after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Commodity Group</w:t>
            </w:r>
          </w:p>
        </w:tc>
      </w:tr>
      <w:tr w:rsidR="00DE55C3" w:rsidRPr="002B1E02" w:rsidTr="00E159A5">
        <w:trPr>
          <w:trHeight w:val="1161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pPr>
              <w:spacing w:after="0" w:line="240" w:lineRule="auto"/>
              <w:rPr>
                <w:sz w:val="24"/>
                <w:szCs w:val="24"/>
              </w:rPr>
            </w:pPr>
          </w:p>
          <w:p w:rsidR="006E411D" w:rsidRPr="00FC00CE" w:rsidRDefault="006E411D" w:rsidP="00FE085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Meat Institute</w:t>
            </w:r>
          </w:p>
        </w:tc>
        <w:tc>
          <w:tcPr>
            <w:tcW w:w="5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Milk &amp; Dairy Beef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The Pork Board</w:t>
            </w:r>
          </w:p>
        </w:tc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Chicken Council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Cattlemen’s Beef Association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Turkey Federation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Sheep Industry Association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Veal Association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United Egg Producers</w:t>
            </w:r>
          </w:p>
        </w:tc>
      </w:tr>
      <w:tr w:rsidR="006E411D" w:rsidRPr="002B1E02" w:rsidTr="005D0A99">
        <w:trPr>
          <w:trHeight w:val="24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 w:themeFill="text2" w:themeFillTint="33"/>
          </w:tcPr>
          <w:p w:rsidR="006E411D" w:rsidRPr="00DE55C3" w:rsidRDefault="00E159A5" w:rsidP="00DE55C3">
            <w:pPr>
              <w:tabs>
                <w:tab w:val="left" w:pos="6760"/>
                <w:tab w:val="center" w:pos="873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Guideline</w:t>
            </w:r>
            <w:r w:rsidR="006E411D" w:rsidRPr="00DE55C3">
              <w:rPr>
                <w:b/>
              </w:rPr>
              <w:t xml:space="preserve"> development process</w:t>
            </w:r>
          </w:p>
        </w:tc>
      </w:tr>
      <w:tr w:rsidR="006E411D" w:rsidRPr="002B1E02" w:rsidTr="00E159A5">
        <w:trPr>
          <w:trHeight w:val="852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</w:pPr>
            <w:r w:rsidRPr="00DE55C3">
              <w:t>Guidelines reflect transparent decision - making process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tcBorders>
              <w:top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275" w:type="pct"/>
            <w:tcBorders>
              <w:top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21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/>
        </w:tc>
        <w:tc>
          <w:tcPr>
            <w:tcW w:w="453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/>
        </w:tc>
        <w:tc>
          <w:tcPr>
            <w:tcW w:w="4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>
            <w:r>
              <w:t>X</w:t>
            </w:r>
          </w:p>
        </w:tc>
      </w:tr>
      <w:tr w:rsidR="006E411D" w:rsidRPr="002B1E02" w:rsidTr="00E159A5">
        <w:trPr>
          <w:trHeight w:val="696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 w:line="240" w:lineRule="auto"/>
            </w:pPr>
            <w:r w:rsidRPr="00DE55C3">
              <w:t>Guidelines reflect broad based input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pPr>
              <w:rPr>
                <w:color w:val="FF0000"/>
              </w:rPr>
            </w:pPr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6E411D" w:rsidRPr="00FC00CE" w:rsidRDefault="006E411D" w:rsidP="00FE0854">
            <w:pPr>
              <w:rPr>
                <w:color w:val="FF0000"/>
              </w:rPr>
            </w:pPr>
          </w:p>
        </w:tc>
        <w:tc>
          <w:tcPr>
            <w:tcW w:w="275" w:type="pct"/>
            <w:shd w:val="clear" w:color="auto" w:fill="auto"/>
          </w:tcPr>
          <w:p w:rsidR="006E411D" w:rsidRPr="00FC00CE" w:rsidRDefault="006E411D" w:rsidP="00FE0854">
            <w:pPr>
              <w:rPr>
                <w:color w:val="FF0000"/>
              </w:rPr>
            </w:pPr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6E411D" w:rsidRPr="00FF778B" w:rsidRDefault="006E411D" w:rsidP="00FE0854">
            <w:pPr>
              <w:rPr>
                <w:color w:val="FF0000"/>
              </w:rPr>
            </w:pPr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6E411D" w:rsidRPr="00FF778B" w:rsidRDefault="006E411D" w:rsidP="00FE0854"/>
        </w:tc>
        <w:tc>
          <w:tcPr>
            <w:tcW w:w="521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6E411D" w:rsidRPr="00FF778B" w:rsidRDefault="006E411D" w:rsidP="00FE0854">
            <w:pPr>
              <w:rPr>
                <w:i/>
                <w:color w:val="FF0000"/>
              </w:rPr>
            </w:pP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</w:tr>
      <w:tr w:rsidR="006E411D" w:rsidRPr="002B1E02" w:rsidTr="00E159A5">
        <w:trPr>
          <w:trHeight w:val="523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</w:pPr>
            <w:r w:rsidRPr="00DE55C3">
              <w:t>Scheduled review and revision mechanism</w:t>
            </w:r>
          </w:p>
        </w:tc>
        <w:tc>
          <w:tcPr>
            <w:tcW w:w="392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C00CE" w:rsidRDefault="006E411D" w:rsidP="00FE0854"/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C00CE" w:rsidRDefault="006E411D" w:rsidP="00FE0854"/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C00CE" w:rsidRDefault="00895BB0" w:rsidP="00FE0854">
            <w:r>
              <w:t>X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F778B" w:rsidRDefault="006E411D" w:rsidP="00FE0854"/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21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F778B" w:rsidRDefault="006E411D" w:rsidP="00FE0854"/>
        </w:tc>
        <w:tc>
          <w:tcPr>
            <w:tcW w:w="453" w:type="pct"/>
            <w:tcBorders>
              <w:bottom w:val="single" w:sz="18" w:space="0" w:color="auto"/>
            </w:tcBorders>
            <w:shd w:val="clear" w:color="auto" w:fill="auto"/>
          </w:tcPr>
          <w:p w:rsidR="006E411D" w:rsidRPr="00FF778B" w:rsidRDefault="006E411D" w:rsidP="00FE0854"/>
        </w:tc>
        <w:tc>
          <w:tcPr>
            <w:tcW w:w="4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>
            <w:r>
              <w:t>X</w:t>
            </w:r>
          </w:p>
        </w:tc>
      </w:tr>
      <w:tr w:rsidR="006E411D" w:rsidRPr="002B1E02" w:rsidTr="005D0A99">
        <w:trPr>
          <w:trHeight w:val="231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 w:themeFill="text2" w:themeFillTint="33"/>
          </w:tcPr>
          <w:p w:rsidR="006E411D" w:rsidRPr="00DE55C3" w:rsidRDefault="00E159A5" w:rsidP="00DE55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Guideline</w:t>
            </w:r>
            <w:r w:rsidR="006E411D" w:rsidRPr="00DE55C3">
              <w:rPr>
                <w:b/>
              </w:rPr>
              <w:t xml:space="preserve"> elements</w:t>
            </w:r>
          </w:p>
        </w:tc>
      </w:tr>
      <w:tr w:rsidR="006E411D" w:rsidRPr="002B1E02" w:rsidTr="00E159A5">
        <w:trPr>
          <w:trHeight w:val="523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</w:pPr>
            <w:r w:rsidRPr="00DE55C3">
              <w:t xml:space="preserve">Handling methods 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tcBorders>
              <w:top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275" w:type="pct"/>
            <w:tcBorders>
              <w:top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21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53" w:type="pct"/>
            <w:tcBorders>
              <w:top w:val="single" w:sz="18" w:space="0" w:color="auto"/>
            </w:tcBorders>
            <w:shd w:val="clear" w:color="auto" w:fill="auto"/>
          </w:tcPr>
          <w:p w:rsidR="006E411D" w:rsidRPr="00FF778B" w:rsidRDefault="006E411D" w:rsidP="00FE0854"/>
        </w:tc>
        <w:tc>
          <w:tcPr>
            <w:tcW w:w="4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>
            <w:r>
              <w:t>X</w:t>
            </w:r>
          </w:p>
        </w:tc>
      </w:tr>
      <w:tr w:rsidR="006E411D" w:rsidRPr="002B1E02" w:rsidTr="00E159A5">
        <w:trPr>
          <w:trHeight w:val="542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vertAlign w:val="superscript"/>
              </w:rPr>
            </w:pPr>
            <w:r w:rsidRPr="00DE55C3">
              <w:t>Husbandry procedures</w:t>
            </w:r>
            <w:r w:rsidRPr="00DE55C3">
              <w:rPr>
                <w:vertAlign w:val="superscript"/>
              </w:rPr>
              <w:t>1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>
            <w:r>
              <w:t>X</w:t>
            </w:r>
          </w:p>
        </w:tc>
      </w:tr>
      <w:tr w:rsidR="006E411D" w:rsidRPr="002B1E02" w:rsidTr="00E159A5">
        <w:trPr>
          <w:trHeight w:val="523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vertAlign w:val="superscript"/>
              </w:rPr>
            </w:pPr>
            <w:r w:rsidRPr="00DE55C3">
              <w:t>Environmental considerations</w:t>
            </w:r>
            <w:r w:rsidRPr="00DE55C3">
              <w:rPr>
                <w:vertAlign w:val="superscript"/>
              </w:rPr>
              <w:t>2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>
            <w:r>
              <w:t>X</w:t>
            </w:r>
          </w:p>
        </w:tc>
      </w:tr>
      <w:tr w:rsidR="006E411D" w:rsidRPr="002B1E02" w:rsidTr="00E159A5">
        <w:trPr>
          <w:trHeight w:val="852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</w:pPr>
            <w:r w:rsidRPr="00DE55C3">
              <w:t>Health program based on veterinary guidance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/>
        </w:tc>
      </w:tr>
      <w:tr w:rsidR="006E411D" w:rsidRPr="002B1E02" w:rsidTr="00E159A5">
        <w:trPr>
          <w:trHeight w:val="523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11D" w:rsidRPr="00DE55C3" w:rsidRDefault="006E411D" w:rsidP="00FE0854">
            <w:pPr>
              <w:spacing w:after="0"/>
              <w:rPr>
                <w:vertAlign w:val="superscript"/>
              </w:rPr>
            </w:pPr>
            <w:r w:rsidRPr="00DE55C3">
              <w:t>Behavioral management</w:t>
            </w:r>
            <w:r w:rsidRPr="00DE55C3">
              <w:rPr>
                <w:vertAlign w:val="superscript"/>
              </w:rPr>
              <w:t>3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6E411D" w:rsidRPr="00FC00CE" w:rsidRDefault="006E411D" w:rsidP="00FE0854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6E411D" w:rsidRPr="00FC00CE" w:rsidRDefault="006E411D" w:rsidP="00FE0854"/>
        </w:tc>
        <w:tc>
          <w:tcPr>
            <w:tcW w:w="275" w:type="pct"/>
            <w:shd w:val="clear" w:color="auto" w:fill="auto"/>
          </w:tcPr>
          <w:p w:rsidR="006E411D" w:rsidRPr="00FC00CE" w:rsidRDefault="006E411D" w:rsidP="00FE0854"/>
        </w:tc>
        <w:tc>
          <w:tcPr>
            <w:tcW w:w="429" w:type="pct"/>
            <w:shd w:val="clear" w:color="auto" w:fill="auto"/>
          </w:tcPr>
          <w:p w:rsidR="006E411D" w:rsidRPr="00FC00CE" w:rsidRDefault="006E411D" w:rsidP="00FE0854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6E411D" w:rsidRPr="00FF778B" w:rsidRDefault="006E411D" w:rsidP="00FE0854"/>
        </w:tc>
        <w:tc>
          <w:tcPr>
            <w:tcW w:w="566" w:type="pct"/>
            <w:shd w:val="clear" w:color="auto" w:fill="auto"/>
          </w:tcPr>
          <w:p w:rsidR="006E411D" w:rsidRPr="00FF778B" w:rsidRDefault="006E411D" w:rsidP="00FE0854"/>
        </w:tc>
        <w:tc>
          <w:tcPr>
            <w:tcW w:w="521" w:type="pct"/>
            <w:shd w:val="clear" w:color="auto" w:fill="auto"/>
          </w:tcPr>
          <w:p w:rsidR="006E411D" w:rsidRPr="00FF778B" w:rsidRDefault="006E411D" w:rsidP="00FE0854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6E411D" w:rsidRPr="00FF778B" w:rsidRDefault="006E411D" w:rsidP="00FE0854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6E411D" w:rsidRPr="002B1E02" w:rsidRDefault="006E411D" w:rsidP="00FE0854">
            <w:r>
              <w:t>X</w:t>
            </w:r>
          </w:p>
        </w:tc>
      </w:tr>
      <w:tr w:rsidR="00E159A5" w:rsidRPr="002B1E02" w:rsidTr="00E159A5">
        <w:trPr>
          <w:trHeight w:val="852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FC00CE" w:rsidRDefault="00E159A5" w:rsidP="00E159A5">
            <w:pPr>
              <w:spacing w:after="0" w:line="240" w:lineRule="auto"/>
              <w:rPr>
                <w:sz w:val="24"/>
                <w:szCs w:val="24"/>
              </w:rPr>
            </w:pPr>
          </w:p>
          <w:p w:rsidR="00E159A5" w:rsidRPr="00FC00CE" w:rsidRDefault="00E159A5" w:rsidP="00E159A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Meat Institute</w:t>
            </w:r>
          </w:p>
        </w:tc>
        <w:tc>
          <w:tcPr>
            <w:tcW w:w="518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Milk &amp; Dairy Beef</w:t>
            </w:r>
          </w:p>
        </w:tc>
        <w:tc>
          <w:tcPr>
            <w:tcW w:w="275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The Pork Board</w:t>
            </w:r>
          </w:p>
        </w:tc>
        <w:tc>
          <w:tcPr>
            <w:tcW w:w="429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Chicken Council</w:t>
            </w:r>
          </w:p>
        </w:tc>
        <w:tc>
          <w:tcPr>
            <w:tcW w:w="527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Cattlemen’s Beef Association</w:t>
            </w:r>
          </w:p>
        </w:tc>
        <w:tc>
          <w:tcPr>
            <w:tcW w:w="566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Turkey Federation</w:t>
            </w:r>
          </w:p>
        </w:tc>
        <w:tc>
          <w:tcPr>
            <w:tcW w:w="521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Sheep Industry Association</w:t>
            </w:r>
          </w:p>
        </w:tc>
        <w:tc>
          <w:tcPr>
            <w:tcW w:w="453" w:type="pct"/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Veal Association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United Egg Producers</w:t>
            </w:r>
          </w:p>
        </w:tc>
      </w:tr>
      <w:tr w:rsidR="00E159A5" w:rsidRPr="002B1E02" w:rsidTr="00E159A5">
        <w:trPr>
          <w:trHeight w:val="852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Facility/equipment maintenance &amp; design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542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vertAlign w:val="superscript"/>
              </w:rPr>
            </w:pPr>
            <w:r w:rsidRPr="00DE55C3">
              <w:t>Emergency preparedness</w:t>
            </w:r>
            <w:r w:rsidRPr="00DE55C3">
              <w:rPr>
                <w:vertAlign w:val="superscript"/>
              </w:rPr>
              <w:t>4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/>
        </w:tc>
        <w:tc>
          <w:tcPr>
            <w:tcW w:w="521" w:type="pct"/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/>
        </w:tc>
      </w:tr>
      <w:tr w:rsidR="00E159A5" w:rsidRPr="002B1E02" w:rsidTr="00E159A5">
        <w:trPr>
          <w:trHeight w:val="523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Transportation procedures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N/A</w:t>
            </w:r>
          </w:p>
        </w:tc>
      </w:tr>
      <w:tr w:rsidR="00E159A5" w:rsidRPr="002B1E02" w:rsidTr="00E159A5">
        <w:trPr>
          <w:trHeight w:val="523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Slaughter procedures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N/A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/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/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>
            <w:r w:rsidRPr="00FF778B">
              <w:t>N/A</w:t>
            </w:r>
          </w:p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N/A</w:t>
            </w:r>
          </w:p>
        </w:tc>
      </w:tr>
      <w:tr w:rsidR="00E159A5" w:rsidRPr="002B1E02" w:rsidTr="00E159A5">
        <w:trPr>
          <w:trHeight w:val="565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Euthanasia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149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Inspection procedures and rate of inspection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149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 xml:space="preserve">Elements of training Programs 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149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 xml:space="preserve">Documentation and assessment of training 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/>
        </w:tc>
      </w:tr>
      <w:tr w:rsidR="00E159A5" w:rsidRPr="002B1E02" w:rsidTr="00E159A5">
        <w:trPr>
          <w:trHeight w:val="588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vertAlign w:val="superscript"/>
              </w:rPr>
            </w:pPr>
            <w:r w:rsidRPr="00DE55C3">
              <w:t>Biosecurity of premises</w:t>
            </w:r>
            <w:r w:rsidRPr="00DE55C3">
              <w:rPr>
                <w:vertAlign w:val="superscript"/>
              </w:rPr>
              <w:t>5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/>
        </w:tc>
        <w:tc>
          <w:tcPr>
            <w:tcW w:w="518" w:type="pct"/>
            <w:tcBorders>
              <w:right w:val="single" w:sz="2" w:space="0" w:color="auto"/>
            </w:tcBorders>
            <w:shd w:val="clear" w:color="auto" w:fill="auto"/>
          </w:tcPr>
          <w:p w:rsidR="00E159A5" w:rsidRPr="00FC00CE" w:rsidRDefault="00E159A5" w:rsidP="00E159A5"/>
        </w:tc>
        <w:tc>
          <w:tcPr>
            <w:tcW w:w="275" w:type="pct"/>
            <w:tcBorders>
              <w:left w:val="single" w:sz="2" w:space="0" w:color="auto"/>
            </w:tcBorders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588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Record keeping requirements</w:t>
            </w:r>
            <w:r w:rsidRPr="00DE55C3">
              <w:rPr>
                <w:vertAlign w:val="superscript"/>
              </w:rPr>
              <w:t>6</w:t>
            </w:r>
          </w:p>
        </w:tc>
        <w:tc>
          <w:tcPr>
            <w:tcW w:w="392" w:type="pct"/>
            <w:tcBorders>
              <w:left w:val="single" w:sz="18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453" w:type="pct"/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588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</w:pPr>
            <w:r w:rsidRPr="00DE55C3">
              <w:t>Special agricultural practices</w:t>
            </w:r>
            <w:r w:rsidRPr="00DE55C3">
              <w:rPr>
                <w:vertAlign w:val="superscript"/>
              </w:rPr>
              <w:t>7</w:t>
            </w:r>
          </w:p>
        </w:tc>
        <w:tc>
          <w:tcPr>
            <w:tcW w:w="392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C00CE" w:rsidRDefault="00E159A5" w:rsidP="00E159A5"/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C00CE" w:rsidRDefault="00E159A5" w:rsidP="00E159A5">
            <w:r w:rsidRPr="00FC00CE">
              <w:t>N/A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tcBorders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588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FC00CE" w:rsidRDefault="00E159A5" w:rsidP="00E159A5">
            <w:pPr>
              <w:spacing w:after="0" w:line="240" w:lineRule="auto"/>
              <w:rPr>
                <w:sz w:val="24"/>
                <w:szCs w:val="24"/>
              </w:rPr>
            </w:pPr>
          </w:p>
          <w:p w:rsidR="00E159A5" w:rsidRPr="00FC00CE" w:rsidRDefault="00E159A5" w:rsidP="00E159A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92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Meat Institute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Milk &amp; Dairy Beef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The Pork Board</w:t>
            </w:r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Chicken Council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Cattlemen’s Beef Association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National Turkey Federation</w:t>
            </w:r>
          </w:p>
        </w:tc>
        <w:tc>
          <w:tcPr>
            <w:tcW w:w="521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Sheep Industry Association</w:t>
            </w:r>
          </w:p>
        </w:tc>
        <w:tc>
          <w:tcPr>
            <w:tcW w:w="453" w:type="pct"/>
            <w:tcBorders>
              <w:bottom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American Veal Association</w:t>
            </w:r>
          </w:p>
        </w:tc>
        <w:tc>
          <w:tcPr>
            <w:tcW w:w="4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United Egg Producers</w:t>
            </w:r>
          </w:p>
        </w:tc>
      </w:tr>
      <w:tr w:rsidR="00E159A5" w:rsidRPr="002B1E02" w:rsidTr="005D0A99">
        <w:trPr>
          <w:trHeight w:val="178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 w:themeFill="text2" w:themeFillTint="33"/>
          </w:tcPr>
          <w:p w:rsidR="00E159A5" w:rsidRPr="00DE55C3" w:rsidRDefault="00E159A5" w:rsidP="00E159A5">
            <w:pPr>
              <w:spacing w:after="0"/>
              <w:jc w:val="center"/>
              <w:rPr>
                <w:b/>
              </w:rPr>
            </w:pPr>
            <w:r>
              <w:rPr>
                <w:b/>
                <w:szCs w:val="24"/>
              </w:rPr>
              <w:t>Guideline</w:t>
            </w:r>
            <w:r w:rsidRPr="00DE55C3">
              <w:rPr>
                <w:b/>
                <w:szCs w:val="24"/>
              </w:rPr>
              <w:t xml:space="preserve"> implementation</w:t>
            </w:r>
          </w:p>
        </w:tc>
      </w:tr>
      <w:tr w:rsidR="00E159A5" w:rsidRPr="002B1E02" w:rsidTr="00E159A5">
        <w:trPr>
          <w:trHeight w:val="894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Auditable guidelines or self-assessment (with performance outcomes or design criteria)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59A5" w:rsidRPr="00FC00CE" w:rsidRDefault="00E159A5" w:rsidP="00E159A5">
            <w:r w:rsidRPr="00FC00CE">
              <w:t xml:space="preserve">X </w:t>
            </w:r>
          </w:p>
        </w:tc>
        <w:tc>
          <w:tcPr>
            <w:tcW w:w="51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C00CE" w:rsidRDefault="00E159A5" w:rsidP="00E159A5"/>
        </w:tc>
        <w:tc>
          <w:tcPr>
            <w:tcW w:w="275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C00CE" w:rsidRDefault="00E159A5" w:rsidP="00E159A5">
            <w:r w:rsidRPr="00FC00CE">
              <w:t>X</w:t>
            </w:r>
          </w:p>
        </w:tc>
        <w:tc>
          <w:tcPr>
            <w:tcW w:w="527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66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F778B" w:rsidRDefault="00E159A5" w:rsidP="00E159A5">
            <w:r w:rsidRPr="00FF778B">
              <w:t>X</w:t>
            </w:r>
          </w:p>
        </w:tc>
        <w:tc>
          <w:tcPr>
            <w:tcW w:w="52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159A5" w:rsidRPr="002B1E02" w:rsidRDefault="00E159A5" w:rsidP="00E159A5">
            <w:r>
              <w:t>X</w:t>
            </w:r>
          </w:p>
        </w:tc>
      </w:tr>
      <w:tr w:rsidR="00E159A5" w:rsidRPr="002B1E02" w:rsidTr="00E159A5">
        <w:trPr>
          <w:trHeight w:val="894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Pr="00DE55C3" w:rsidRDefault="00E159A5" w:rsidP="00E159A5">
            <w:pPr>
              <w:spacing w:after="0"/>
              <w:rPr>
                <w:szCs w:val="24"/>
              </w:rPr>
            </w:pPr>
            <w:r w:rsidRPr="00DE55C3">
              <w:rPr>
                <w:szCs w:val="24"/>
              </w:rPr>
              <w:t>Audit or self-evaluation mechanism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59A5" w:rsidRPr="00FC00CE" w:rsidRDefault="00E159A5" w:rsidP="00E159A5"/>
        </w:tc>
        <w:tc>
          <w:tcPr>
            <w:tcW w:w="518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C00CE" w:rsidRDefault="00E159A5" w:rsidP="00E159A5"/>
        </w:tc>
        <w:tc>
          <w:tcPr>
            <w:tcW w:w="275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C00CE" w:rsidRDefault="00E159A5" w:rsidP="00E159A5"/>
        </w:tc>
        <w:tc>
          <w:tcPr>
            <w:tcW w:w="429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C00CE" w:rsidRDefault="00E159A5" w:rsidP="00E159A5"/>
        </w:tc>
        <w:tc>
          <w:tcPr>
            <w:tcW w:w="52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56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52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45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E159A5" w:rsidRPr="00FF778B" w:rsidRDefault="00E159A5" w:rsidP="00E159A5"/>
        </w:tc>
        <w:tc>
          <w:tcPr>
            <w:tcW w:w="410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59A5" w:rsidRDefault="00E159A5" w:rsidP="00E159A5">
            <w:r>
              <w:t>X</w:t>
            </w:r>
          </w:p>
        </w:tc>
      </w:tr>
    </w:tbl>
    <w:p w:rsidR="006E411D" w:rsidRPr="002B1E02" w:rsidRDefault="006E411D" w:rsidP="006E411D">
      <w:pPr>
        <w:rPr>
          <w:vertAlign w:val="superscript"/>
        </w:rPr>
      </w:pPr>
    </w:p>
    <w:p w:rsidR="006E411D" w:rsidRPr="002B1E02" w:rsidRDefault="006E411D" w:rsidP="006E411D">
      <w:pPr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Default="006E411D" w:rsidP="006E411D">
      <w:pPr>
        <w:spacing w:after="0"/>
        <w:rPr>
          <w:vertAlign w:val="superscript"/>
        </w:rPr>
      </w:pPr>
    </w:p>
    <w:p w:rsidR="006E411D" w:rsidRPr="00FE0854" w:rsidRDefault="00E159A5" w:rsidP="006E41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Footnotes</w:t>
      </w:r>
    </w:p>
    <w:p w:rsidR="006E411D" w:rsidRPr="002B1E02" w:rsidRDefault="006E411D" w:rsidP="006E411D">
      <w:pPr>
        <w:spacing w:after="0"/>
      </w:pPr>
      <w:r w:rsidRPr="002B1E02">
        <w:rPr>
          <w:vertAlign w:val="superscript"/>
        </w:rPr>
        <w:t>1</w:t>
      </w:r>
      <w:r w:rsidRPr="002B1E02">
        <w:t>Food water, space allocation, bedding condition</w:t>
      </w:r>
      <w:r>
        <w:t>,</w:t>
      </w:r>
      <w:r w:rsidR="00E159A5">
        <w:t xml:space="preserve"> </w:t>
      </w:r>
      <w:r w:rsidR="000F70A0">
        <w:t>etc.</w:t>
      </w:r>
      <w:r>
        <w:t>,</w:t>
      </w:r>
      <w:r w:rsidR="000F70A0">
        <w:t xml:space="preserve"> </w:t>
      </w:r>
      <w:r>
        <w:t>as applicable</w:t>
      </w:r>
    </w:p>
    <w:p w:rsidR="006E411D" w:rsidRPr="002B1E02" w:rsidRDefault="006E411D" w:rsidP="006E411D">
      <w:pPr>
        <w:spacing w:after="0"/>
      </w:pPr>
      <w:r w:rsidRPr="002B1E02">
        <w:rPr>
          <w:vertAlign w:val="superscript"/>
        </w:rPr>
        <w:t>2</w:t>
      </w:r>
      <w:r w:rsidRPr="002B1E02">
        <w:t>Ventilation, air quality, temperature</w:t>
      </w:r>
    </w:p>
    <w:p w:rsidR="006E411D" w:rsidRDefault="006E411D" w:rsidP="006E411D">
      <w:pPr>
        <w:spacing w:after="0"/>
      </w:pPr>
      <w:r w:rsidRPr="002B1E02">
        <w:rPr>
          <w:vertAlign w:val="superscript"/>
        </w:rPr>
        <w:t>3</w:t>
      </w:r>
      <w:r w:rsidRPr="002B1E02">
        <w:t>Includes identifying and minimizing behavioral problems</w:t>
      </w:r>
      <w:r>
        <w:t xml:space="preserve"> and/or opportunities to minimize</w:t>
      </w:r>
    </w:p>
    <w:p w:rsidR="006E411D" w:rsidRPr="002B1E02" w:rsidRDefault="006E411D" w:rsidP="006E411D">
      <w:pPr>
        <w:spacing w:after="0"/>
      </w:pPr>
      <w:r w:rsidRPr="002B1E02">
        <w:rPr>
          <w:vertAlign w:val="superscript"/>
        </w:rPr>
        <w:t>4</w:t>
      </w:r>
      <w:r w:rsidRPr="002B1E02">
        <w:t>Power outages, weather emergencies, fire</w:t>
      </w:r>
    </w:p>
    <w:p w:rsidR="006E411D" w:rsidRPr="002B1E02" w:rsidRDefault="006E411D" w:rsidP="006E411D">
      <w:pPr>
        <w:spacing w:after="0"/>
        <w:rPr>
          <w:vertAlign w:val="superscript"/>
        </w:rPr>
      </w:pPr>
      <w:r w:rsidRPr="002B1E02">
        <w:rPr>
          <w:vertAlign w:val="superscript"/>
        </w:rPr>
        <w:t xml:space="preserve">5 </w:t>
      </w:r>
      <w:r w:rsidRPr="002B1E02">
        <w:t>Standards established to control/mitigate potential of diseases brought onto farm</w:t>
      </w:r>
    </w:p>
    <w:p w:rsidR="006E411D" w:rsidRPr="002B1E02" w:rsidRDefault="006E411D" w:rsidP="006E411D">
      <w:pPr>
        <w:spacing w:after="0"/>
      </w:pPr>
      <w:r w:rsidRPr="002B1E02">
        <w:rPr>
          <w:vertAlign w:val="superscript"/>
        </w:rPr>
        <w:t>6</w:t>
      </w:r>
      <w:r w:rsidR="00FE0854">
        <w:t xml:space="preserve">Includes </w:t>
      </w:r>
      <w:r w:rsidRPr="002B1E02">
        <w:t>minimum required data to assure compliance with the guidelines</w:t>
      </w:r>
    </w:p>
    <w:p w:rsidR="006E411D" w:rsidRPr="006D165E" w:rsidRDefault="006E411D" w:rsidP="006E411D">
      <w:pPr>
        <w:rPr>
          <w:sz w:val="20"/>
        </w:rPr>
      </w:pPr>
      <w:r w:rsidRPr="002B1E02">
        <w:rPr>
          <w:szCs w:val="24"/>
          <w:vertAlign w:val="superscript"/>
        </w:rPr>
        <w:t>7</w:t>
      </w:r>
      <w:r>
        <w:rPr>
          <w:szCs w:val="24"/>
        </w:rPr>
        <w:t xml:space="preserve">Management procedures that could cause pain or distress (ex: castration, dehorning, </w:t>
      </w:r>
      <w:proofErr w:type="gramStart"/>
      <w:r>
        <w:rPr>
          <w:szCs w:val="24"/>
        </w:rPr>
        <w:t>beak-trimming</w:t>
      </w:r>
      <w:proofErr w:type="gramEnd"/>
      <w:r>
        <w:rPr>
          <w:szCs w:val="24"/>
        </w:rPr>
        <w:t>, molting)</w:t>
      </w:r>
    </w:p>
    <w:p w:rsidR="00B96ED0" w:rsidRDefault="00B96ED0"/>
    <w:sectPr w:rsidR="00B96ED0" w:rsidSect="00E159A5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5A" w:rsidRDefault="0084475A" w:rsidP="00FE0854">
      <w:pPr>
        <w:spacing w:after="0" w:line="240" w:lineRule="auto"/>
      </w:pPr>
      <w:r>
        <w:separator/>
      </w:r>
    </w:p>
  </w:endnote>
  <w:endnote w:type="continuationSeparator" w:id="0">
    <w:p w:rsidR="0084475A" w:rsidRDefault="0084475A" w:rsidP="00FE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54" w:rsidRPr="00D1387A" w:rsidRDefault="00895BB0">
    <w:pPr>
      <w:pStyle w:val="Footer"/>
      <w:rPr>
        <w:sz w:val="20"/>
        <w:szCs w:val="20"/>
      </w:rPr>
    </w:pPr>
    <w:r>
      <w:rPr>
        <w:sz w:val="20"/>
        <w:szCs w:val="20"/>
      </w:rPr>
      <w:t>May</w:t>
    </w:r>
    <w:r w:rsidR="00FE0854" w:rsidRPr="00D1387A">
      <w:rPr>
        <w:sz w:val="20"/>
        <w:szCs w:val="20"/>
      </w:rPr>
      <w:t xml:space="preserve"> 2013</w:t>
    </w:r>
  </w:p>
  <w:p w:rsidR="00FE0854" w:rsidRDefault="00FE0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5A" w:rsidRDefault="0084475A" w:rsidP="00FE0854">
      <w:pPr>
        <w:spacing w:after="0" w:line="240" w:lineRule="auto"/>
      </w:pPr>
      <w:r>
        <w:separator/>
      </w:r>
    </w:p>
  </w:footnote>
  <w:footnote w:type="continuationSeparator" w:id="0">
    <w:p w:rsidR="0084475A" w:rsidRDefault="0084475A" w:rsidP="00FE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2" w:rsidRDefault="00FE0854">
    <w:pPr>
      <w:pStyle w:val="Header"/>
    </w:pPr>
    <w:r w:rsidRPr="00FE0854">
      <w:rPr>
        <w:sz w:val="28"/>
      </w:rPr>
      <w:t>Food Marketing Institute Animal Welfare Guideline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1D"/>
    <w:rsid w:val="000F70A0"/>
    <w:rsid w:val="00363AFE"/>
    <w:rsid w:val="00364F5F"/>
    <w:rsid w:val="00542B30"/>
    <w:rsid w:val="005D0A99"/>
    <w:rsid w:val="006E411D"/>
    <w:rsid w:val="00717CB9"/>
    <w:rsid w:val="0081103B"/>
    <w:rsid w:val="0084475A"/>
    <w:rsid w:val="00895BB0"/>
    <w:rsid w:val="008D7DF7"/>
    <w:rsid w:val="008E484A"/>
    <w:rsid w:val="00B96ED0"/>
    <w:rsid w:val="00C9185F"/>
    <w:rsid w:val="00D1387A"/>
    <w:rsid w:val="00D642D4"/>
    <w:rsid w:val="00D7705F"/>
    <w:rsid w:val="00DE55C3"/>
    <w:rsid w:val="00E159A5"/>
    <w:rsid w:val="00FC00CE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11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D7DF7"/>
    <w:rPr>
      <w:rFonts w:ascii="Monotype Corsiva" w:eastAsia="Times New Roman" w:hAnsi="Monotype Corsiva"/>
      <w:i/>
      <w:szCs w:val="20"/>
    </w:rPr>
  </w:style>
  <w:style w:type="paragraph" w:styleId="EnvelopeAddress">
    <w:name w:val="envelope address"/>
    <w:basedOn w:val="Normal"/>
    <w:rsid w:val="008D7DF7"/>
    <w:pPr>
      <w:framePr w:w="7920" w:h="1980" w:hRule="exact" w:hSpace="180" w:wrap="auto" w:hAnchor="page" w:xAlign="center" w:yAlign="bottom"/>
      <w:ind w:left="2880"/>
    </w:pPr>
    <w:rPr>
      <w:rFonts w:ascii="Monotype Corsiva" w:eastAsia="Times New Roman" w:hAnsi="Monotype Corsiva"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6E4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1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11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6E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11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11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59A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59A5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11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D7DF7"/>
    <w:rPr>
      <w:rFonts w:ascii="Monotype Corsiva" w:eastAsia="Times New Roman" w:hAnsi="Monotype Corsiva"/>
      <w:i/>
      <w:szCs w:val="20"/>
    </w:rPr>
  </w:style>
  <w:style w:type="paragraph" w:styleId="EnvelopeAddress">
    <w:name w:val="envelope address"/>
    <w:basedOn w:val="Normal"/>
    <w:rsid w:val="008D7DF7"/>
    <w:pPr>
      <w:framePr w:w="7920" w:h="1980" w:hRule="exact" w:hSpace="180" w:wrap="auto" w:hAnchor="page" w:xAlign="center" w:yAlign="bottom"/>
      <w:ind w:left="2880"/>
    </w:pPr>
    <w:rPr>
      <w:rFonts w:ascii="Monotype Corsiva" w:eastAsia="Times New Roman" w:hAnsi="Monotype Corsiva"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6E4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1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11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6E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11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11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59A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59A5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13523389940BBB481DF5D529B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B5AE-35A0-4A3C-B874-FD5BD5E53290}"/>
      </w:docPartPr>
      <w:docPartBody>
        <w:p w:rsidR="00000000" w:rsidRDefault="005F568E" w:rsidP="005F568E">
          <w:pPr>
            <w:pStyle w:val="A0913523389940BBB481DF5D529B3802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68E09CF8C30F45D28B600DC5AA1E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B2BB-985C-4E69-8E0B-CE7141FD7E52}"/>
      </w:docPartPr>
      <w:docPartBody>
        <w:p w:rsidR="00000000" w:rsidRDefault="005F568E" w:rsidP="005F568E">
          <w:pPr>
            <w:pStyle w:val="68E09CF8C30F45D28B600DC5AA1EC36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2E11199D994C4FA48B54B93E95A3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86F7-33C1-42BF-86ED-668277EC4BBE}"/>
      </w:docPartPr>
      <w:docPartBody>
        <w:p w:rsidR="00000000" w:rsidRDefault="005F568E" w:rsidP="005F568E">
          <w:pPr>
            <w:pStyle w:val="2E11199D994C4FA48B54B93E95A367E3"/>
          </w:pPr>
          <w:r>
            <w:rPr>
              <w:color w:val="4F81BD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8E"/>
    <w:rsid w:val="005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13523389940BBB481DF5D529B3802">
    <w:name w:val="A0913523389940BBB481DF5D529B3802"/>
    <w:rsid w:val="005F568E"/>
  </w:style>
  <w:style w:type="paragraph" w:customStyle="1" w:styleId="68E09CF8C30F45D28B600DC5AA1EC366">
    <w:name w:val="68E09CF8C30F45D28B600DC5AA1EC366"/>
    <w:rsid w:val="005F568E"/>
  </w:style>
  <w:style w:type="paragraph" w:customStyle="1" w:styleId="5D2E34C7020C42EB8063D2766B106F28">
    <w:name w:val="5D2E34C7020C42EB8063D2766B106F28"/>
    <w:rsid w:val="005F568E"/>
  </w:style>
  <w:style w:type="paragraph" w:customStyle="1" w:styleId="BFB20F8C931B48B1907828D77389AD04">
    <w:name w:val="BFB20F8C931B48B1907828D77389AD04"/>
    <w:rsid w:val="005F568E"/>
  </w:style>
  <w:style w:type="paragraph" w:customStyle="1" w:styleId="2E11199D994C4FA48B54B93E95A367E3">
    <w:name w:val="2E11199D994C4FA48B54B93E95A367E3"/>
    <w:rsid w:val="005F568E"/>
  </w:style>
  <w:style w:type="paragraph" w:customStyle="1" w:styleId="1A00658A2A204199A5F564325F292389">
    <w:name w:val="1A00658A2A204199A5F564325F292389"/>
    <w:rsid w:val="005F568E"/>
  </w:style>
  <w:style w:type="paragraph" w:customStyle="1" w:styleId="76ED90306B23409287FE598835696022">
    <w:name w:val="76ED90306B23409287FE598835696022"/>
    <w:rsid w:val="005F568E"/>
  </w:style>
  <w:style w:type="paragraph" w:customStyle="1" w:styleId="8A3F55A5D50447DE83AC45A8E0D260EC">
    <w:name w:val="8A3F55A5D50447DE83AC45A8E0D260EC"/>
    <w:rsid w:val="005F568E"/>
  </w:style>
  <w:style w:type="paragraph" w:customStyle="1" w:styleId="FD23294F4C5049EEB84201903BCABF7B">
    <w:name w:val="FD23294F4C5049EEB84201903BCABF7B"/>
    <w:rsid w:val="005F568E"/>
  </w:style>
  <w:style w:type="paragraph" w:customStyle="1" w:styleId="EFEC98E0380244A4AB2B38996D36F0B0">
    <w:name w:val="EFEC98E0380244A4AB2B38996D36F0B0"/>
    <w:rsid w:val="005F568E"/>
  </w:style>
  <w:style w:type="paragraph" w:customStyle="1" w:styleId="F47C30CA723E4EA099236F46A3C70235">
    <w:name w:val="F47C30CA723E4EA099236F46A3C70235"/>
    <w:rsid w:val="005F568E"/>
  </w:style>
  <w:style w:type="paragraph" w:customStyle="1" w:styleId="0A5DF60CAFF64C4CB9C8DBE9F1843F4A">
    <w:name w:val="0A5DF60CAFF64C4CB9C8DBE9F1843F4A"/>
    <w:rsid w:val="005F568E"/>
  </w:style>
  <w:style w:type="paragraph" w:customStyle="1" w:styleId="3FCD4803C7B04550BFD67CAEBF3AE1E5">
    <w:name w:val="3FCD4803C7B04550BFD67CAEBF3AE1E5"/>
    <w:rsid w:val="005F568E"/>
  </w:style>
  <w:style w:type="paragraph" w:customStyle="1" w:styleId="5D0678A3B04A4BAFB902AC5ADEFFCCC8">
    <w:name w:val="5D0678A3B04A4BAFB902AC5ADEFFCCC8"/>
    <w:rsid w:val="005F568E"/>
  </w:style>
  <w:style w:type="paragraph" w:customStyle="1" w:styleId="7F6BB6AD0E60424184CD3554C6DD0E1D">
    <w:name w:val="7F6BB6AD0E60424184CD3554C6DD0E1D"/>
    <w:rsid w:val="005F56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13523389940BBB481DF5D529B3802">
    <w:name w:val="A0913523389940BBB481DF5D529B3802"/>
    <w:rsid w:val="005F568E"/>
  </w:style>
  <w:style w:type="paragraph" w:customStyle="1" w:styleId="68E09CF8C30F45D28B600DC5AA1EC366">
    <w:name w:val="68E09CF8C30F45D28B600DC5AA1EC366"/>
    <w:rsid w:val="005F568E"/>
  </w:style>
  <w:style w:type="paragraph" w:customStyle="1" w:styleId="5D2E34C7020C42EB8063D2766B106F28">
    <w:name w:val="5D2E34C7020C42EB8063D2766B106F28"/>
    <w:rsid w:val="005F568E"/>
  </w:style>
  <w:style w:type="paragraph" w:customStyle="1" w:styleId="BFB20F8C931B48B1907828D77389AD04">
    <w:name w:val="BFB20F8C931B48B1907828D77389AD04"/>
    <w:rsid w:val="005F568E"/>
  </w:style>
  <w:style w:type="paragraph" w:customStyle="1" w:styleId="2E11199D994C4FA48B54B93E95A367E3">
    <w:name w:val="2E11199D994C4FA48B54B93E95A367E3"/>
    <w:rsid w:val="005F568E"/>
  </w:style>
  <w:style w:type="paragraph" w:customStyle="1" w:styleId="1A00658A2A204199A5F564325F292389">
    <w:name w:val="1A00658A2A204199A5F564325F292389"/>
    <w:rsid w:val="005F568E"/>
  </w:style>
  <w:style w:type="paragraph" w:customStyle="1" w:styleId="76ED90306B23409287FE598835696022">
    <w:name w:val="76ED90306B23409287FE598835696022"/>
    <w:rsid w:val="005F568E"/>
  </w:style>
  <w:style w:type="paragraph" w:customStyle="1" w:styleId="8A3F55A5D50447DE83AC45A8E0D260EC">
    <w:name w:val="8A3F55A5D50447DE83AC45A8E0D260EC"/>
    <w:rsid w:val="005F568E"/>
  </w:style>
  <w:style w:type="paragraph" w:customStyle="1" w:styleId="FD23294F4C5049EEB84201903BCABF7B">
    <w:name w:val="FD23294F4C5049EEB84201903BCABF7B"/>
    <w:rsid w:val="005F568E"/>
  </w:style>
  <w:style w:type="paragraph" w:customStyle="1" w:styleId="EFEC98E0380244A4AB2B38996D36F0B0">
    <w:name w:val="EFEC98E0380244A4AB2B38996D36F0B0"/>
    <w:rsid w:val="005F568E"/>
  </w:style>
  <w:style w:type="paragraph" w:customStyle="1" w:styleId="F47C30CA723E4EA099236F46A3C70235">
    <w:name w:val="F47C30CA723E4EA099236F46A3C70235"/>
    <w:rsid w:val="005F568E"/>
  </w:style>
  <w:style w:type="paragraph" w:customStyle="1" w:styleId="0A5DF60CAFF64C4CB9C8DBE9F1843F4A">
    <w:name w:val="0A5DF60CAFF64C4CB9C8DBE9F1843F4A"/>
    <w:rsid w:val="005F568E"/>
  </w:style>
  <w:style w:type="paragraph" w:customStyle="1" w:styleId="3FCD4803C7B04550BFD67CAEBF3AE1E5">
    <w:name w:val="3FCD4803C7B04550BFD67CAEBF3AE1E5"/>
    <w:rsid w:val="005F568E"/>
  </w:style>
  <w:style w:type="paragraph" w:customStyle="1" w:styleId="5D0678A3B04A4BAFB902AC5ADEFFCCC8">
    <w:name w:val="5D0678A3B04A4BAFB902AC5ADEFFCCC8"/>
    <w:rsid w:val="005F568E"/>
  </w:style>
  <w:style w:type="paragraph" w:customStyle="1" w:styleId="7F6BB6AD0E60424184CD3554C6DD0E1D">
    <w:name w:val="7F6BB6AD0E60424184CD3554C6DD0E1D"/>
    <w:rsid w:val="005F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81701-6E88-4CBF-AB1F-8D9B4118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186755E7</Template>
  <TotalTime>4</TotalTime>
  <Pages>5</Pages>
  <Words>467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Marketing Institute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Animal Welfare Guidelines</dc:title>
  <dc:creator/>
  <cp:lastModifiedBy>Jessica M. Carpenter  (FMI)</cp:lastModifiedBy>
  <cp:revision>3</cp:revision>
  <cp:lastPrinted>2013-09-24T15:21:00Z</cp:lastPrinted>
  <dcterms:created xsi:type="dcterms:W3CDTF">2013-09-24T15:14:00Z</dcterms:created>
  <dcterms:modified xsi:type="dcterms:W3CDTF">2013-09-24T15:21:00Z</dcterms:modified>
</cp:coreProperties>
</file>